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BC" w:rsidRPr="006867EA" w:rsidRDefault="000313BC" w:rsidP="006A325A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6867EA">
        <w:rPr>
          <w:rFonts w:ascii="Times New Roman" w:hAnsi="Times New Roman" w:cs="Times New Roman"/>
          <w:b/>
          <w:sz w:val="32"/>
          <w:szCs w:val="32"/>
          <w:u w:val="single"/>
        </w:rPr>
        <w:t xml:space="preserve">Formulary </w:t>
      </w:r>
      <w:r w:rsidR="0014155E" w:rsidRPr="006867EA">
        <w:rPr>
          <w:rFonts w:ascii="Times New Roman" w:hAnsi="Times New Roman" w:cs="Times New Roman"/>
          <w:b/>
          <w:sz w:val="32"/>
          <w:szCs w:val="32"/>
          <w:u w:val="single"/>
        </w:rPr>
        <w:t>and Non-formulary Drugs</w:t>
      </w:r>
      <w:r w:rsidR="0014155E" w:rsidRPr="006867E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313BC" w:rsidRDefault="000313BC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0313BC">
        <w:rPr>
          <w:rFonts w:ascii="Times New Roman" w:hAnsi="Times New Roman" w:cs="Times New Roman"/>
          <w:sz w:val="24"/>
          <w:szCs w:val="24"/>
        </w:rPr>
        <w:t xml:space="preserve"> </w:t>
      </w:r>
      <w:r w:rsidRPr="000313BC">
        <w:rPr>
          <w:rFonts w:ascii="Times New Roman" w:hAnsi="Times New Roman" w:cs="Times New Roman"/>
          <w:color w:val="000000"/>
          <w:sz w:val="24"/>
          <w:szCs w:val="24"/>
        </w:rPr>
        <w:t>DoD Pharmacy &amp; Therapeutics Committee (a body of military physicians and pharmacists) and approved by the Director of the Defense Health Agency (DHA)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establishes a uniform formulary, which is a list of covered generic and brand name drugs</w:t>
      </w:r>
      <w:r w:rsidRPr="000313B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4155E">
        <w:rPr>
          <w:rFonts w:ascii="Times New Roman" w:hAnsi="Times New Roman" w:cs="Times New Roman"/>
          <w:color w:val="000000"/>
          <w:sz w:val="24"/>
          <w:szCs w:val="24"/>
        </w:rPr>
        <w:t>This formulary also contains a 3</w:t>
      </w:r>
      <w:r w:rsidR="0014155E" w:rsidRPr="001415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14155E">
        <w:rPr>
          <w:rFonts w:ascii="Times New Roman" w:hAnsi="Times New Roman" w:cs="Times New Roman"/>
          <w:color w:val="000000"/>
          <w:sz w:val="24"/>
          <w:szCs w:val="24"/>
        </w:rPr>
        <w:t xml:space="preserve"> tier of drugs that are Non-formulary</w:t>
      </w:r>
      <w:r w:rsidR="006867EA">
        <w:rPr>
          <w:rFonts w:ascii="Times New Roman" w:hAnsi="Times New Roman" w:cs="Times New Roman"/>
          <w:color w:val="000000"/>
          <w:sz w:val="24"/>
          <w:szCs w:val="24"/>
        </w:rPr>
        <w:t>, both brand and generic</w:t>
      </w:r>
      <w:r w:rsidR="0014155E">
        <w:rPr>
          <w:rFonts w:ascii="Times New Roman" w:hAnsi="Times New Roman" w:cs="Times New Roman"/>
          <w:color w:val="000000"/>
          <w:sz w:val="24"/>
          <w:szCs w:val="24"/>
        </w:rPr>
        <w:t>. Prescriptions for non-formulary drugs are dispensed at a higher cost</w:t>
      </w:r>
      <w:r w:rsidR="006867EA">
        <w:rPr>
          <w:rFonts w:ascii="Times New Roman" w:hAnsi="Times New Roman" w:cs="Times New Roman"/>
          <w:color w:val="000000"/>
          <w:sz w:val="24"/>
          <w:szCs w:val="24"/>
        </w:rPr>
        <w:t xml:space="preserve"> and may require step-therapy and prior authorization</w:t>
      </w:r>
      <w:r w:rsidR="001415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6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formulary is updated on a quarterly basis. </w:t>
      </w:r>
    </w:p>
    <w:p w:rsidR="00EB6BF2" w:rsidRDefault="00EB6BF2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56" w:rsidRDefault="00076456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Medical Necessity for Non-Form</w:t>
      </w:r>
      <w:r w:rsidR="00961DC4">
        <w:rPr>
          <w:rFonts w:ascii="Times New Roman" w:hAnsi="Times New Roman" w:cs="Times New Roman"/>
          <w:b/>
          <w:color w:val="000000"/>
          <w:sz w:val="24"/>
          <w:szCs w:val="24"/>
        </w:rPr>
        <w:t>ulary Medications</w:t>
      </w:r>
    </w:p>
    <w:p w:rsidR="00961DC4" w:rsidRPr="00961DC4" w:rsidRDefault="00961DC4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necessity criteria is established by the DoD P &amp; T Committee for each non-formulary drug. If the medical necessity criteria are met, the copay would lower to the formulary copay. Your physician can establish medical necessity by completing and submitting the appropriate form.</w:t>
      </w:r>
    </w:p>
    <w:p w:rsidR="00961DC4" w:rsidRDefault="00961DC4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C46" w:rsidRPr="00AF6C46" w:rsidRDefault="00AF6C46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C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Prior Authorization</w:t>
      </w:r>
    </w:p>
    <w:p w:rsidR="00EC3D35" w:rsidRDefault="00AF6C46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Some prescriptions require prior authorization from the plan before they can be paid for by the plan. 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t xml:space="preserve">Drugs requiring prior authorization may include, but are not limited to, prescription drug specified by the DoD P &amp; T Committee, brand-name drugs with generic equivalents, drugs with age limits, and drugs prescribed for quantities exceeding normal limits.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refer to the TRICARE formulary search tool to find out if your specific drug requires prior authorization. Or </w:t>
      </w:r>
      <w:r w:rsidR="00F02C3C">
        <w:rPr>
          <w:rFonts w:ascii="Times New Roman" w:hAnsi="Times New Roman" w:cs="Times New Roman"/>
          <w:color w:val="000000"/>
          <w:sz w:val="24"/>
          <w:szCs w:val="24"/>
        </w:rPr>
        <w:t xml:space="preserve">call MaxorPlus </w:t>
      </w:r>
      <w:r w:rsidR="00F02C3C">
        <w:rPr>
          <w:rFonts w:ascii="Times New Roman" w:hAnsi="Times New Roman" w:cs="Times New Roman"/>
          <w:sz w:val="24"/>
          <w:szCs w:val="24"/>
        </w:rPr>
        <w:t>Member Advocates at 1-800-687-0707.</w:t>
      </w:r>
    </w:p>
    <w:p w:rsidR="00AF6C46" w:rsidRDefault="00AF6C46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46" w:rsidRPr="00AF6C46" w:rsidRDefault="00AF6C46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C46">
        <w:rPr>
          <w:rFonts w:ascii="Times New Roman" w:hAnsi="Times New Roman" w:cs="Times New Roman"/>
          <w:b/>
          <w:color w:val="000000"/>
          <w:sz w:val="24"/>
          <w:szCs w:val="24"/>
        </w:rPr>
        <w:t>Step Therapy</w:t>
      </w:r>
    </w:p>
    <w:p w:rsidR="00F02C3C" w:rsidRDefault="00AF6C46" w:rsidP="00F02C3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 therapy involves prescribing a safe, c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t xml:space="preserve">linically effective, and cost effective </w:t>
      </w:r>
      <w:r w:rsidR="00CF5E51">
        <w:rPr>
          <w:rFonts w:ascii="Times New Roman" w:hAnsi="Times New Roman" w:cs="Times New Roman"/>
          <w:color w:val="000000"/>
          <w:sz w:val="24"/>
          <w:szCs w:val="24"/>
        </w:rPr>
        <w:t>drugs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t xml:space="preserve"> as the first step in treating a medical condition. Generic drugs are commonly used as the preferred medication due to their established safety and efficacy for treating a given condition. This means that these </w:t>
      </w:r>
      <w:r w:rsidR="00CF5E51">
        <w:rPr>
          <w:rFonts w:ascii="Times New Roman" w:hAnsi="Times New Roman" w:cs="Times New Roman"/>
          <w:color w:val="000000"/>
          <w:sz w:val="24"/>
          <w:szCs w:val="24"/>
        </w:rPr>
        <w:t>drugs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t xml:space="preserve"> are only covered if you have already tried certain </w:t>
      </w:r>
      <w:r w:rsidR="00CF5E51">
        <w:rPr>
          <w:rFonts w:ascii="Times New Roman" w:hAnsi="Times New Roman" w:cs="Times New Roman"/>
          <w:color w:val="000000"/>
          <w:sz w:val="24"/>
          <w:szCs w:val="24"/>
        </w:rPr>
        <w:t>drugs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t xml:space="preserve"> and those did not work.</w:t>
      </w:r>
      <w:r w:rsidR="00005BC4" w:rsidRPr="00005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t xml:space="preserve">Please refer to the TRICARE formulary search tool to find out </w:t>
      </w:r>
      <w:r w:rsidR="00005B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if your specific drug requires step therapy. Or call </w:t>
      </w:r>
      <w:r w:rsidR="00F02C3C">
        <w:rPr>
          <w:rFonts w:ascii="Times New Roman" w:hAnsi="Times New Roman" w:cs="Times New Roman"/>
          <w:color w:val="000000"/>
          <w:sz w:val="24"/>
          <w:szCs w:val="24"/>
        </w:rPr>
        <w:t xml:space="preserve">MaxorPlus </w:t>
      </w:r>
      <w:r w:rsidR="00F02C3C">
        <w:rPr>
          <w:rFonts w:ascii="Times New Roman" w:hAnsi="Times New Roman" w:cs="Times New Roman"/>
          <w:sz w:val="24"/>
          <w:szCs w:val="24"/>
        </w:rPr>
        <w:t>Member Advocates at 1-800-687-0707.</w:t>
      </w:r>
    </w:p>
    <w:p w:rsidR="00CF5E51" w:rsidRDefault="00CF5E51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F5E51" w:rsidRDefault="00CF5E51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E51">
        <w:rPr>
          <w:rFonts w:ascii="Times New Roman" w:hAnsi="Times New Roman" w:cs="Times New Roman"/>
          <w:b/>
          <w:color w:val="000000"/>
          <w:sz w:val="24"/>
          <w:szCs w:val="24"/>
        </w:rPr>
        <w:t>Generic Substitution</w:t>
      </w:r>
    </w:p>
    <w:p w:rsidR="00AF6C46" w:rsidRDefault="00076456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Generic drugs provide the same safe, effective treatment as brand-name drugs and, in most cases, they help you save money. The DoD policy on generic drugs states brand-name drugs that have a generic equivalent generally may be covered only after the physician completes a clinical assessment that indicates the brand-name drug should be used in place of the generic drug and approval is granted by the plan.</w:t>
      </w:r>
    </w:p>
    <w:p w:rsidR="00076456" w:rsidRDefault="00076456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fill a prescription with a brand name drug that is not considered medically necessary and a generic equivalent is avai</w:t>
      </w:r>
      <w:r w:rsidR="00FE29A7"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z w:val="24"/>
          <w:szCs w:val="24"/>
        </w:rPr>
        <w:t>ble, you will be responsible for paying the entire cost of the prescription.</w:t>
      </w:r>
    </w:p>
    <w:p w:rsidR="0009554F" w:rsidRDefault="0009554F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554F" w:rsidRPr="0009554F" w:rsidRDefault="0009554F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54F">
        <w:rPr>
          <w:rFonts w:ascii="Times New Roman" w:hAnsi="Times New Roman" w:cs="Times New Roman"/>
          <w:b/>
          <w:color w:val="000000"/>
          <w:sz w:val="24"/>
          <w:szCs w:val="24"/>
        </w:rPr>
        <w:t>Specialty Medications</w:t>
      </w:r>
    </w:p>
    <w:p w:rsidR="00667198" w:rsidRDefault="0009554F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Specialty medications are usually high-cost, self-administered</w:t>
      </w:r>
      <w:r w:rsidR="00D50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injectable, oral, or infused drugs that treat serious chronic conditions. These drugs require special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storage and handling, and may not be readily available at your local pharmacy. Specialty medications may also have side effects that require pharmacist and/or nurse monitoring. Many specialty medications are available at l</w:t>
      </w:r>
      <w:r w:rsidR="00D502EC">
        <w:rPr>
          <w:rFonts w:ascii="Times New Roman" w:hAnsi="Times New Roman" w:cs="Times New Roman"/>
          <w:color w:val="000000"/>
          <w:sz w:val="24"/>
          <w:szCs w:val="24"/>
        </w:rPr>
        <w:t>imited specific pharmacies.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our physician </w:t>
      </w:r>
      <w:r w:rsidR="00D502EC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="00FE29A7">
        <w:rPr>
          <w:rFonts w:ascii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prescription </w:t>
      </w:r>
      <w:r w:rsidR="00D502EC">
        <w:rPr>
          <w:rFonts w:ascii="Times New Roman" w:hAnsi="Times New Roman" w:cs="Times New Roman"/>
          <w:color w:val="000000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the specialty pharmacy and will </w:t>
      </w:r>
      <w:r w:rsidR="00D502EC">
        <w:rPr>
          <w:rFonts w:ascii="Times New Roman" w:hAnsi="Times New Roman" w:cs="Times New Roman"/>
          <w:color w:val="000000"/>
          <w:sz w:val="24"/>
          <w:szCs w:val="24"/>
        </w:rPr>
        <w:t xml:space="preserve">be contacted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 </w:t>
      </w:r>
      <w:r w:rsidR="00D502E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prior authorization form. Once approved, the specialty pharmacy will coordinate delivery to your home or physician’s office.</w:t>
      </w:r>
    </w:p>
    <w:p w:rsidR="0009554F" w:rsidRDefault="0009554F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198" w:rsidRDefault="00667198" w:rsidP="006A325A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198">
        <w:rPr>
          <w:rFonts w:ascii="Times New Roman" w:hAnsi="Times New Roman" w:cs="Times New Roman"/>
          <w:b/>
          <w:color w:val="000000"/>
          <w:sz w:val="24"/>
          <w:szCs w:val="24"/>
        </w:rPr>
        <w:t>Smoking Cessation</w:t>
      </w:r>
    </w:p>
    <w:p w:rsidR="00667198" w:rsidRPr="00667198" w:rsidRDefault="00667198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Quitting can be hard. USFHP is dedicated to helping you quit smoking and live a healthier life. Smoking cessation drugs are available from the MXP Mail Order Pharmacy for $0 copay. A prescription is required from your physician.</w:t>
      </w:r>
    </w:p>
    <w:p w:rsidR="00961DC4" w:rsidRPr="00961DC4" w:rsidRDefault="00961DC4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E199F" w:rsidRDefault="0014155E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325A" w:rsidRPr="00667D5D" w:rsidRDefault="00FE29A7" w:rsidP="006A32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699183</wp:posOffset>
                </wp:positionV>
                <wp:extent cx="828136" cy="2501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29A7" w:rsidRDefault="00FE29A7">
                            <w:r>
                              <w:t>MC1205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5.05pt;width:65.2pt;height:19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" filled="f" stroked="f" strokeweight=".5pt">
                <v:textbox>
                  <w:txbxContent>
                    <w:p w:rsidR="00FE29A7" w:rsidRDefault="00FE29A7">
                      <w:r>
                        <w:t>MC1205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99F">
        <w:rPr>
          <w:rFonts w:ascii="Times New Roman" w:hAnsi="Times New Roman" w:cs="Times New Roman"/>
          <w:color w:val="000000"/>
          <w:sz w:val="24"/>
          <w:szCs w:val="24"/>
        </w:rPr>
        <w:t xml:space="preserve">US Family Health Plan includes coverage for prescription drugs using the TRICARE formulary and is managed through MaxorPlus. The Plan includes generic and </w:t>
      </w:r>
      <w:r w:rsidR="00BE199F">
        <w:rPr>
          <w:rFonts w:ascii="Times New Roman" w:hAnsi="Times New Roman" w:cs="Times New Roman"/>
          <w:color w:val="000000"/>
          <w:sz w:val="24"/>
          <w:szCs w:val="24"/>
        </w:rPr>
        <w:lastRenderedPageBreak/>
        <w:t>brand formulary and non-formulary medications, including specialty medications and smoking cessation.</w:t>
      </w:r>
    </w:p>
    <w:sectPr w:rsidR="006A325A" w:rsidRPr="00667D5D" w:rsidSect="00C77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A54"/>
    <w:multiLevelType w:val="hybridMultilevel"/>
    <w:tmpl w:val="5DB0A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3003E"/>
    <w:multiLevelType w:val="hybridMultilevel"/>
    <w:tmpl w:val="FB42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BA7"/>
    <w:multiLevelType w:val="hybridMultilevel"/>
    <w:tmpl w:val="7B6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459A"/>
    <w:multiLevelType w:val="hybridMultilevel"/>
    <w:tmpl w:val="D4B6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D6F28"/>
    <w:multiLevelType w:val="hybridMultilevel"/>
    <w:tmpl w:val="1D2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7739"/>
    <w:multiLevelType w:val="hybridMultilevel"/>
    <w:tmpl w:val="2BEC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2639"/>
    <w:multiLevelType w:val="hybridMultilevel"/>
    <w:tmpl w:val="110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77D9"/>
    <w:multiLevelType w:val="hybridMultilevel"/>
    <w:tmpl w:val="03C6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793"/>
    <w:multiLevelType w:val="hybridMultilevel"/>
    <w:tmpl w:val="255A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91802"/>
    <w:multiLevelType w:val="hybridMultilevel"/>
    <w:tmpl w:val="753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A"/>
    <w:rsid w:val="00005BC4"/>
    <w:rsid w:val="000313BC"/>
    <w:rsid w:val="00050C84"/>
    <w:rsid w:val="00076456"/>
    <w:rsid w:val="0009554F"/>
    <w:rsid w:val="000A3A52"/>
    <w:rsid w:val="000A40CA"/>
    <w:rsid w:val="000C1825"/>
    <w:rsid w:val="000E7AC8"/>
    <w:rsid w:val="0014155E"/>
    <w:rsid w:val="0019379A"/>
    <w:rsid w:val="001B62C5"/>
    <w:rsid w:val="001C4804"/>
    <w:rsid w:val="001E4696"/>
    <w:rsid w:val="0032271E"/>
    <w:rsid w:val="003A7B64"/>
    <w:rsid w:val="003E7680"/>
    <w:rsid w:val="00400765"/>
    <w:rsid w:val="004148AF"/>
    <w:rsid w:val="00667198"/>
    <w:rsid w:val="00667D5D"/>
    <w:rsid w:val="006867EA"/>
    <w:rsid w:val="006A325A"/>
    <w:rsid w:val="006C1C36"/>
    <w:rsid w:val="007349E9"/>
    <w:rsid w:val="0079052B"/>
    <w:rsid w:val="008B7256"/>
    <w:rsid w:val="0093414F"/>
    <w:rsid w:val="00961DC4"/>
    <w:rsid w:val="00965F72"/>
    <w:rsid w:val="00A003F7"/>
    <w:rsid w:val="00AC6AB1"/>
    <w:rsid w:val="00AD0BE8"/>
    <w:rsid w:val="00AF62EB"/>
    <w:rsid w:val="00AF6C46"/>
    <w:rsid w:val="00B244CB"/>
    <w:rsid w:val="00BD6FF6"/>
    <w:rsid w:val="00BE199F"/>
    <w:rsid w:val="00C12AA1"/>
    <w:rsid w:val="00C776DF"/>
    <w:rsid w:val="00CF5E51"/>
    <w:rsid w:val="00D00B13"/>
    <w:rsid w:val="00D502EC"/>
    <w:rsid w:val="00D86F15"/>
    <w:rsid w:val="00EA5EA5"/>
    <w:rsid w:val="00EB6BF2"/>
    <w:rsid w:val="00EC3D35"/>
    <w:rsid w:val="00F02C3C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E102-0E9D-4772-93F4-467A582F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2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3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198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62EB"/>
    <w:rPr>
      <w:b/>
      <w:bCs/>
    </w:rPr>
  </w:style>
  <w:style w:type="character" w:styleId="Emphasis">
    <w:name w:val="Emphasis"/>
    <w:basedOn w:val="DefaultParagraphFont"/>
    <w:uiPriority w:val="20"/>
    <w:qFormat/>
    <w:rsid w:val="00AF62E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65F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C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Swindull</dc:creator>
  <cp:keywords/>
  <dc:description/>
  <cp:lastModifiedBy>Bailey, Alexis R.</cp:lastModifiedBy>
  <cp:revision>2</cp:revision>
  <dcterms:created xsi:type="dcterms:W3CDTF">2019-06-11T15:42:00Z</dcterms:created>
  <dcterms:modified xsi:type="dcterms:W3CDTF">2019-06-11T15:42:00Z</dcterms:modified>
</cp:coreProperties>
</file>